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0" w:rightFromText="180" w:bottomFromText="200" w:vertAnchor="text" w:horzAnchor="margin" w:tblpXSpec="center" w:tblpY="16"/>
        <w:tblW w:w="11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340"/>
      </w:tblGrid>
      <w:tr w:rsidR="008D2B70" w:rsidTr="00817EE8">
        <w:trPr>
          <w:trHeight w:val="2040"/>
        </w:trPr>
        <w:tc>
          <w:tcPr>
            <w:tcW w:w="11340"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hideMark/>
          </w:tcPr>
          <w:p w:rsidR="008D2B70" w:rsidRPr="003F6AB4" w:rsidRDefault="008D2B70" w:rsidP="00817EE8">
            <w:pPr>
              <w:tabs>
                <w:tab w:val="center" w:pos="4513"/>
                <w:tab w:val="right" w:pos="9026"/>
              </w:tabs>
              <w:spacing w:after="0" w:line="240" w:lineRule="auto"/>
              <w:jc w:val="center"/>
              <w:rPr>
                <w:rFonts w:ascii="Cambria" w:hAnsi="Cambria"/>
                <w:b/>
                <w:i/>
                <w:color w:val="FF0000"/>
                <w:sz w:val="42"/>
                <w:szCs w:val="24"/>
              </w:rPr>
            </w:pPr>
            <w:r w:rsidRPr="003F6AB4">
              <w:rPr>
                <w:noProof/>
                <w:color w:val="FF0000"/>
              </w:rPr>
              <w:drawing>
                <wp:anchor distT="0" distB="0" distL="114300" distR="114300" simplePos="0" relativeHeight="251659264" behindDoc="0" locked="0" layoutInCell="1" allowOverlap="1">
                  <wp:simplePos x="0" y="0"/>
                  <wp:positionH relativeFrom="column">
                    <wp:posOffset>-1327785</wp:posOffset>
                  </wp:positionH>
                  <wp:positionV relativeFrom="paragraph">
                    <wp:posOffset>-635</wp:posOffset>
                  </wp:positionV>
                  <wp:extent cx="1362075" cy="123825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62075" cy="1238250"/>
                          </a:xfrm>
                          <a:prstGeom prst="rect">
                            <a:avLst/>
                          </a:prstGeom>
                          <a:noFill/>
                        </pic:spPr>
                      </pic:pic>
                    </a:graphicData>
                  </a:graphic>
                </wp:anchor>
              </w:drawing>
            </w:r>
            <w:r w:rsidRPr="003F6AB4">
              <w:rPr>
                <w:rFonts w:ascii="Times New Roman" w:eastAsia="Cambria" w:hAnsi="Times New Roman"/>
                <w:b/>
                <w:color w:val="FF0000"/>
                <w:sz w:val="42"/>
                <w:szCs w:val="24"/>
              </w:rPr>
              <w:t xml:space="preserve">    </w:t>
            </w:r>
            <w:r w:rsidRPr="003F6AB4">
              <w:rPr>
                <w:rFonts w:ascii="Cambria" w:eastAsia="Cambria" w:hAnsi="Cambria"/>
                <w:b/>
                <w:color w:val="FF0000"/>
                <w:sz w:val="48"/>
                <w:szCs w:val="24"/>
              </w:rPr>
              <w:t>ABHILASHI  COLLEGE OF EDUCATION</w:t>
            </w:r>
          </w:p>
          <w:p w:rsidR="008D2B70" w:rsidRDefault="008D2B70" w:rsidP="00817EE8">
            <w:pPr>
              <w:tabs>
                <w:tab w:val="center" w:pos="4513"/>
                <w:tab w:val="right" w:pos="9026"/>
              </w:tabs>
              <w:spacing w:after="0" w:line="240" w:lineRule="auto"/>
              <w:jc w:val="center"/>
              <w:rPr>
                <w:rFonts w:ascii="Cambria" w:hAnsi="Cambria"/>
                <w:b/>
                <w:i/>
                <w:sz w:val="36"/>
                <w:szCs w:val="24"/>
              </w:rPr>
            </w:pPr>
            <w:r>
              <w:rPr>
                <w:rFonts w:ascii="Cambria" w:hAnsi="Cambria"/>
                <w:b/>
                <w:i/>
                <w:sz w:val="36"/>
                <w:szCs w:val="24"/>
              </w:rPr>
              <w:t>(NAAC Accredited ‘A’ Grade College)</w:t>
            </w:r>
          </w:p>
          <w:p w:rsidR="008D2B70" w:rsidRDefault="008D2B70" w:rsidP="00817EE8">
            <w:pPr>
              <w:tabs>
                <w:tab w:val="center" w:pos="4513"/>
                <w:tab w:val="right" w:pos="9026"/>
              </w:tabs>
              <w:spacing w:after="0" w:line="240" w:lineRule="auto"/>
              <w:jc w:val="center"/>
              <w:rPr>
                <w:rFonts w:ascii="Cambria" w:hAnsi="Cambria"/>
                <w:b/>
                <w:i/>
                <w:szCs w:val="24"/>
                <w:u w:val="single"/>
              </w:rPr>
            </w:pPr>
            <w:proofErr w:type="spellStart"/>
            <w:r>
              <w:rPr>
                <w:rFonts w:ascii="Cambria" w:hAnsi="Cambria"/>
                <w:b/>
                <w:szCs w:val="24"/>
                <w:u w:val="single"/>
              </w:rPr>
              <w:t>Ner</w:t>
            </w:r>
            <w:proofErr w:type="spellEnd"/>
            <w:r>
              <w:rPr>
                <w:rFonts w:ascii="Cambria" w:hAnsi="Cambria"/>
                <w:b/>
                <w:szCs w:val="24"/>
                <w:u w:val="single"/>
              </w:rPr>
              <w:t xml:space="preserve"> </w:t>
            </w:r>
            <w:proofErr w:type="spellStart"/>
            <w:r>
              <w:rPr>
                <w:rFonts w:ascii="Cambria" w:hAnsi="Cambria"/>
                <w:b/>
                <w:szCs w:val="24"/>
                <w:u w:val="single"/>
              </w:rPr>
              <w:t>Chowk</w:t>
            </w:r>
            <w:proofErr w:type="spellEnd"/>
            <w:r>
              <w:rPr>
                <w:rFonts w:ascii="Cambria" w:hAnsi="Cambria"/>
                <w:b/>
                <w:szCs w:val="24"/>
                <w:u w:val="single"/>
              </w:rPr>
              <w:t xml:space="preserve">, </w:t>
            </w:r>
            <w:proofErr w:type="spellStart"/>
            <w:r>
              <w:rPr>
                <w:rFonts w:ascii="Cambria" w:hAnsi="Cambria"/>
                <w:b/>
                <w:szCs w:val="24"/>
                <w:u w:val="single"/>
              </w:rPr>
              <w:t>Teh</w:t>
            </w:r>
            <w:proofErr w:type="spellEnd"/>
            <w:r>
              <w:rPr>
                <w:rFonts w:ascii="Cambria" w:hAnsi="Cambria"/>
                <w:b/>
                <w:szCs w:val="24"/>
                <w:u w:val="single"/>
              </w:rPr>
              <w:t xml:space="preserve">. </w:t>
            </w:r>
            <w:proofErr w:type="spellStart"/>
            <w:r>
              <w:rPr>
                <w:rFonts w:ascii="Cambria" w:hAnsi="Cambria"/>
                <w:b/>
                <w:szCs w:val="24"/>
                <w:u w:val="single"/>
              </w:rPr>
              <w:t>Balh</w:t>
            </w:r>
            <w:proofErr w:type="spellEnd"/>
            <w:r>
              <w:rPr>
                <w:rFonts w:ascii="Cambria" w:hAnsi="Cambria"/>
                <w:b/>
                <w:szCs w:val="24"/>
                <w:u w:val="single"/>
              </w:rPr>
              <w:t xml:space="preserve">, </w:t>
            </w:r>
            <w:proofErr w:type="spellStart"/>
            <w:r>
              <w:rPr>
                <w:rFonts w:ascii="Cambria" w:hAnsi="Cambria"/>
                <w:b/>
                <w:szCs w:val="24"/>
                <w:u w:val="single"/>
              </w:rPr>
              <w:t>Distt</w:t>
            </w:r>
            <w:proofErr w:type="spellEnd"/>
            <w:r>
              <w:rPr>
                <w:rFonts w:ascii="Cambria" w:hAnsi="Cambria"/>
                <w:b/>
                <w:szCs w:val="24"/>
                <w:u w:val="single"/>
              </w:rPr>
              <w:t xml:space="preserve">. </w:t>
            </w:r>
            <w:proofErr w:type="spellStart"/>
            <w:r>
              <w:rPr>
                <w:rFonts w:ascii="Cambria" w:hAnsi="Cambria"/>
                <w:b/>
                <w:szCs w:val="24"/>
                <w:u w:val="single"/>
              </w:rPr>
              <w:t>Mandi</w:t>
            </w:r>
            <w:proofErr w:type="spellEnd"/>
            <w:r>
              <w:rPr>
                <w:rFonts w:ascii="Cambria" w:hAnsi="Cambria"/>
                <w:b/>
                <w:szCs w:val="24"/>
                <w:u w:val="single"/>
              </w:rPr>
              <w:t xml:space="preserve"> (H. P.) – 175008</w:t>
            </w:r>
            <w:r>
              <w:rPr>
                <w:rFonts w:ascii="Cambria" w:hAnsi="Cambria"/>
                <w:b/>
                <w:i/>
                <w:szCs w:val="24"/>
                <w:u w:val="single"/>
              </w:rPr>
              <w:t xml:space="preserve">   </w:t>
            </w:r>
          </w:p>
          <w:p w:rsidR="008D2B70" w:rsidRDefault="008D2B70" w:rsidP="00817EE8">
            <w:pPr>
              <w:tabs>
                <w:tab w:val="center" w:pos="4513"/>
                <w:tab w:val="right" w:pos="9026"/>
              </w:tabs>
              <w:spacing w:after="0" w:line="240" w:lineRule="auto"/>
              <w:jc w:val="center"/>
              <w:rPr>
                <w:rFonts w:ascii="Cambria" w:hAnsi="Cambria"/>
                <w:b/>
                <w:i/>
                <w:szCs w:val="24"/>
                <w:u w:val="single"/>
              </w:rPr>
            </w:pPr>
            <w:r>
              <w:rPr>
                <w:rFonts w:ascii="Cambria" w:hAnsi="Cambria"/>
                <w:b/>
                <w:i/>
                <w:sz w:val="24"/>
                <w:szCs w:val="24"/>
              </w:rPr>
              <w:t xml:space="preserve">  </w:t>
            </w:r>
            <w:r>
              <w:rPr>
                <w:rFonts w:ascii="Cambria" w:hAnsi="Cambria"/>
                <w:i/>
                <w:sz w:val="24"/>
                <w:szCs w:val="24"/>
              </w:rPr>
              <w:t xml:space="preserve">Approved by Govt. of H. P., </w:t>
            </w:r>
            <w:proofErr w:type="spellStart"/>
            <w:r>
              <w:rPr>
                <w:rFonts w:ascii="Cambria" w:hAnsi="Cambria"/>
                <w:i/>
                <w:sz w:val="24"/>
                <w:szCs w:val="24"/>
              </w:rPr>
              <w:t>Recognised</w:t>
            </w:r>
            <w:proofErr w:type="spellEnd"/>
            <w:r>
              <w:rPr>
                <w:rFonts w:ascii="Cambria" w:hAnsi="Cambria"/>
                <w:i/>
                <w:sz w:val="24"/>
                <w:szCs w:val="24"/>
              </w:rPr>
              <w:t xml:space="preserve"> by NCTE, </w:t>
            </w:r>
            <w:proofErr w:type="spellStart"/>
            <w:r>
              <w:rPr>
                <w:rFonts w:ascii="Cambria" w:hAnsi="Cambria"/>
                <w:i/>
                <w:sz w:val="24"/>
                <w:szCs w:val="24"/>
              </w:rPr>
              <w:t>Jaipur</w:t>
            </w:r>
            <w:proofErr w:type="spellEnd"/>
            <w:r>
              <w:rPr>
                <w:rFonts w:ascii="Cambria" w:hAnsi="Cambria"/>
                <w:i/>
                <w:sz w:val="24"/>
                <w:szCs w:val="24"/>
              </w:rPr>
              <w:t xml:space="preserve"> </w:t>
            </w:r>
            <w:proofErr w:type="gramStart"/>
            <w:r>
              <w:rPr>
                <w:rFonts w:ascii="Cambria" w:hAnsi="Cambria"/>
                <w:i/>
                <w:sz w:val="24"/>
                <w:szCs w:val="24"/>
              </w:rPr>
              <w:t>&amp;</w:t>
            </w:r>
            <w:r>
              <w:rPr>
                <w:rFonts w:ascii="Cambria" w:hAnsi="Cambria"/>
                <w:b/>
                <w:i/>
                <w:szCs w:val="24"/>
                <w:u w:val="single"/>
              </w:rPr>
              <w:t xml:space="preserve"> </w:t>
            </w:r>
            <w:r>
              <w:rPr>
                <w:rFonts w:ascii="Cambria" w:hAnsi="Cambria"/>
                <w:i/>
                <w:sz w:val="24"/>
                <w:szCs w:val="24"/>
              </w:rPr>
              <w:t xml:space="preserve"> Affiliated</w:t>
            </w:r>
            <w:proofErr w:type="gramEnd"/>
            <w:r>
              <w:rPr>
                <w:rFonts w:ascii="Cambria" w:hAnsi="Cambria"/>
                <w:i/>
                <w:sz w:val="24"/>
                <w:szCs w:val="24"/>
              </w:rPr>
              <w:t xml:space="preserve"> to HPU, </w:t>
            </w:r>
            <w:proofErr w:type="spellStart"/>
            <w:r>
              <w:rPr>
                <w:rFonts w:ascii="Cambria" w:hAnsi="Cambria"/>
                <w:i/>
                <w:sz w:val="24"/>
                <w:szCs w:val="24"/>
              </w:rPr>
              <w:t>Shimla</w:t>
            </w:r>
            <w:proofErr w:type="spellEnd"/>
            <w:r>
              <w:rPr>
                <w:rFonts w:ascii="Cambria" w:hAnsi="Cambria"/>
                <w:b/>
                <w:sz w:val="24"/>
                <w:szCs w:val="24"/>
              </w:rPr>
              <w:t xml:space="preserve">                         </w:t>
            </w:r>
            <w:r>
              <w:rPr>
                <w:rFonts w:ascii="Cambria" w:hAnsi="Cambria"/>
                <w:i/>
                <w:sz w:val="24"/>
                <w:szCs w:val="24"/>
              </w:rPr>
              <w:t>Contact. 01905-243328, 243239 Fax. 01905-243328</w:t>
            </w:r>
          </w:p>
          <w:p w:rsidR="008D2B70" w:rsidRDefault="008D2B70" w:rsidP="00817EE8">
            <w:pPr>
              <w:tabs>
                <w:tab w:val="left" w:pos="1400"/>
                <w:tab w:val="center" w:pos="4513"/>
                <w:tab w:val="right" w:pos="9026"/>
              </w:tabs>
              <w:spacing w:after="0" w:line="240" w:lineRule="auto"/>
              <w:rPr>
                <w:rFonts w:ascii="Bookman Old Style" w:hAnsi="Bookman Old Style"/>
                <w:b/>
                <w:sz w:val="18"/>
              </w:rPr>
            </w:pPr>
            <w:r>
              <w:rPr>
                <w:rFonts w:ascii="Bookman Old Style" w:hAnsi="Bookman Old Style"/>
                <w:b/>
                <w:sz w:val="18"/>
              </w:rPr>
              <w:t xml:space="preserve">               Email: </w:t>
            </w:r>
            <w:hyperlink r:id="rId5" w:history="1">
              <w:r>
                <w:rPr>
                  <w:rStyle w:val="Hyperlink"/>
                  <w:rFonts w:ascii="Bookman Old Style" w:hAnsi="Bookman Old Style"/>
                  <w:b/>
                  <w:sz w:val="18"/>
                </w:rPr>
                <w:t>abhilashigroup@gmail.com</w:t>
              </w:r>
            </w:hyperlink>
            <w:r>
              <w:rPr>
                <w:rFonts w:ascii="Bookman Old Style" w:hAnsi="Bookman Old Style"/>
                <w:b/>
                <w:sz w:val="18"/>
              </w:rPr>
              <w:t xml:space="preserve">, website: </w:t>
            </w:r>
            <w:hyperlink r:id="rId6" w:history="1">
              <w:r>
                <w:rPr>
                  <w:rStyle w:val="Hyperlink"/>
                  <w:rFonts w:ascii="Bookman Old Style" w:hAnsi="Bookman Old Style"/>
                  <w:b/>
                  <w:sz w:val="18"/>
                </w:rPr>
                <w:t>www.abhilashi-edu.in</w:t>
              </w:r>
            </w:hyperlink>
          </w:p>
        </w:tc>
      </w:tr>
    </w:tbl>
    <w:p w:rsidR="008D2B70" w:rsidRPr="008877A6" w:rsidRDefault="008877A6" w:rsidP="008877A6">
      <w:pPr>
        <w:spacing w:line="360" w:lineRule="auto"/>
        <w:jc w:val="center"/>
        <w:rPr>
          <w:rFonts w:ascii="Times New Roman" w:hAnsi="Times New Roman" w:cs="Times New Roman"/>
          <w:color w:val="000000" w:themeColor="text1"/>
          <w:sz w:val="28"/>
          <w:szCs w:val="24"/>
        </w:rPr>
      </w:pPr>
      <w:r w:rsidRPr="008877A6">
        <w:rPr>
          <w:rFonts w:ascii="Arial" w:hAnsi="Arial" w:cs="Arial"/>
          <w:color w:val="000000" w:themeColor="text1"/>
          <w:sz w:val="27"/>
          <w:szCs w:val="23"/>
          <w:shd w:val="clear" w:color="auto" w:fill="8FAECE"/>
        </w:rPr>
        <w:t>Institutional Distinctiveness</w:t>
      </w:r>
    </w:p>
    <w:p w:rsidR="003C4768" w:rsidRDefault="003C4768" w:rsidP="003C47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Abhilashi  College</w:t>
      </w:r>
      <w:proofErr w:type="gramEnd"/>
      <w:r>
        <w:rPr>
          <w:rFonts w:ascii="Times New Roman" w:hAnsi="Times New Roman" w:cs="Times New Roman"/>
          <w:sz w:val="24"/>
          <w:szCs w:val="24"/>
        </w:rPr>
        <w:t xml:space="preserve"> of Education came into existence in 2003 in the world of education. Our motto, “</w:t>
      </w:r>
      <w:proofErr w:type="spellStart"/>
      <w:r>
        <w:rPr>
          <w:rFonts w:ascii="Times New Roman" w:hAnsi="Times New Roman" w:cs="Times New Roman"/>
          <w:sz w:val="24"/>
          <w:szCs w:val="24"/>
        </w:rPr>
        <w:t>Vidya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Dadaati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Vinayam</w:t>
      </w:r>
      <w:proofErr w:type="spellEnd"/>
      <w:r>
        <w:rPr>
          <w:rFonts w:ascii="Times New Roman" w:hAnsi="Times New Roman" w:cs="Times New Roman"/>
          <w:sz w:val="24"/>
          <w:szCs w:val="24"/>
        </w:rPr>
        <w:t xml:space="preserve">” (Education creates Politeness) motivates us to always work with dedication to enlighten ourselves and to the society’s betterment. So, we have evolved from a humble beginning with B.Ed., M.Ed. course, faculty and students with the objective to inculcate honesty and dedication. The College provides ample opportunities to the students from different streams to mingle together in academic as well as sports, cultural and other extra-curricular activities. The spirit of mutual work, discipline, social responsibility towards community development and nation building is inculcated through curricular and co-curricular activities. The College contributes towards women empowerment by organizing various activities. The nature care and environmental awareness is being promoted. The green and clean campus, Paperless work and Tree Plantation are the unique examples of our eco-friendly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The College encourages its faculty and students to participate in seminars and conferences and promote a holistic teaching-learning environment. They are further facilitated by our infrastructural facilities including fully functional labs, well-stocked library and a hall equipped with multi-media facility. In order to improve ICT infrastructure and teaching methodology, the College has also installed multi-media projectors in the class rooms and computer labs. In addition, the College facilitates regular interactions through seminars, workshops, special lectures etc. or a healthy and vast exposure to our students.</w:t>
      </w:r>
    </w:p>
    <w:p w:rsidR="00F8780E" w:rsidRDefault="00F8780E"/>
    <w:sectPr w:rsidR="00F8780E" w:rsidSect="008D2B70">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C4768"/>
    <w:rsid w:val="003C4768"/>
    <w:rsid w:val="003F6AB4"/>
    <w:rsid w:val="008877A6"/>
    <w:rsid w:val="008D2B70"/>
    <w:rsid w:val="00F87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B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40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hilashi-edu.in" TargetMode="External"/><Relationship Id="rId5" Type="http://schemas.openxmlformats.org/officeDocument/2006/relationships/hyperlink" Target="mailto:abhilashigroup@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1811</Characters>
  <Application>Microsoft Office Word</Application>
  <DocSecurity>0</DocSecurity>
  <Lines>15</Lines>
  <Paragraphs>4</Paragraphs>
  <ScaleCrop>false</ScaleCrop>
  <Company>Grizli777</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ACE</dc:creator>
  <cp:keywords/>
  <dc:description/>
  <cp:lastModifiedBy>Principal ACE</cp:lastModifiedBy>
  <cp:revision>5</cp:revision>
  <dcterms:created xsi:type="dcterms:W3CDTF">2021-07-19T10:07:00Z</dcterms:created>
  <dcterms:modified xsi:type="dcterms:W3CDTF">2021-07-19T10:10:00Z</dcterms:modified>
</cp:coreProperties>
</file>